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98287" w14:textId="77777777" w:rsidR="007312E4" w:rsidRPr="00C03AD4" w:rsidRDefault="000C2DAE" w:rsidP="005630DC">
      <w:pPr>
        <w:rPr>
          <w:rFonts w:eastAsiaTheme="majorEastAsia" w:cstheme="minorHAnsi"/>
          <w:color w:val="2F5496" w:themeColor="accent1" w:themeShade="BF"/>
          <w:sz w:val="26"/>
          <w:szCs w:val="26"/>
        </w:rPr>
      </w:pPr>
      <w:r w:rsidRPr="00C03AD4">
        <w:rPr>
          <w:rFonts w:eastAsiaTheme="majorEastAsia" w:cstheme="minorHAnsi"/>
          <w:color w:val="2F5496" w:themeColor="accent1" w:themeShade="BF"/>
          <w:sz w:val="26"/>
          <w:szCs w:val="26"/>
        </w:rPr>
        <w:t>Purpose:</w:t>
      </w:r>
    </w:p>
    <w:p w14:paraId="767428E0" w14:textId="3D5F1B7F" w:rsidR="005630DC" w:rsidRPr="00C03AD4" w:rsidRDefault="005630DC" w:rsidP="005630DC">
      <w:pPr>
        <w:rPr>
          <w:rFonts w:cstheme="minorHAnsi"/>
        </w:rPr>
      </w:pPr>
      <w:r w:rsidRPr="00C03AD4">
        <w:rPr>
          <w:rFonts w:cstheme="minorHAnsi"/>
        </w:rPr>
        <w:t xml:space="preserve">This document outlines the method used to account for storage tank emissions that </w:t>
      </w:r>
      <w:r w:rsidR="00583F5C" w:rsidRPr="00C03AD4">
        <w:rPr>
          <w:rFonts w:cstheme="minorHAnsi"/>
        </w:rPr>
        <w:t>may</w:t>
      </w:r>
      <w:r w:rsidRPr="00C03AD4">
        <w:rPr>
          <w:rFonts w:cstheme="minorHAnsi"/>
        </w:rPr>
        <w:t xml:space="preserve"> not </w:t>
      </w:r>
      <w:r w:rsidR="00583F5C" w:rsidRPr="00C03AD4">
        <w:rPr>
          <w:rFonts w:cstheme="minorHAnsi"/>
        </w:rPr>
        <w:t>c</w:t>
      </w:r>
      <w:r w:rsidRPr="00C03AD4">
        <w:rPr>
          <w:rFonts w:cstheme="minorHAnsi"/>
        </w:rPr>
        <w:t>ompletely route to their intended control devices</w:t>
      </w:r>
      <w:r w:rsidR="00583F5C" w:rsidRPr="00C03AD4">
        <w:rPr>
          <w:rFonts w:cstheme="minorHAnsi"/>
        </w:rPr>
        <w:t xml:space="preserve"> </w:t>
      </w:r>
      <w:r w:rsidR="008821FA" w:rsidRPr="00C03AD4">
        <w:rPr>
          <w:rFonts w:cstheme="minorHAnsi"/>
        </w:rPr>
        <w:t xml:space="preserve">to incorporate </w:t>
      </w:r>
      <w:r w:rsidRPr="00C03AD4">
        <w:rPr>
          <w:rFonts w:cstheme="minorHAnsi"/>
        </w:rPr>
        <w:t>in the</w:t>
      </w:r>
      <w:r w:rsidR="008821FA" w:rsidRPr="00C03AD4">
        <w:rPr>
          <w:rFonts w:cstheme="minorHAnsi"/>
        </w:rPr>
        <w:t xml:space="preserve"> </w:t>
      </w:r>
      <w:r w:rsidR="0024328E">
        <w:rPr>
          <w:rFonts w:cstheme="minorHAnsi"/>
        </w:rPr>
        <w:t xml:space="preserve">updated </w:t>
      </w:r>
      <w:r w:rsidR="008821FA" w:rsidRPr="00C03AD4">
        <w:rPr>
          <w:rFonts w:cstheme="minorHAnsi"/>
        </w:rPr>
        <w:t>2017</w:t>
      </w:r>
      <w:r w:rsidRPr="00C03AD4">
        <w:rPr>
          <w:rFonts w:cstheme="minorHAnsi"/>
        </w:rPr>
        <w:t xml:space="preserve"> Uinta Basin Emission Inventory</w:t>
      </w:r>
      <w:r w:rsidR="0024328E">
        <w:rPr>
          <w:rFonts w:cstheme="minorHAnsi"/>
        </w:rPr>
        <w:t xml:space="preserve"> (UBEI2017-Update</w:t>
      </w:r>
      <w:r w:rsidR="005D7889">
        <w:rPr>
          <w:rFonts w:cstheme="minorHAnsi"/>
        </w:rPr>
        <w:t>, v.88</w:t>
      </w:r>
      <w:r w:rsidR="0024328E">
        <w:rPr>
          <w:rFonts w:cstheme="minorHAnsi"/>
        </w:rPr>
        <w:t>)</w:t>
      </w:r>
      <w:r w:rsidR="00583F5C">
        <w:rPr>
          <w:rFonts w:ascii="Courier New" w:hAnsi="Courier New" w:cs="Courier New"/>
        </w:rPr>
        <w:t>.</w:t>
      </w:r>
      <w:r w:rsidRPr="00C03AD4">
        <w:rPr>
          <w:rFonts w:cstheme="minorHAnsi"/>
        </w:rPr>
        <w:t xml:space="preserve"> </w:t>
      </w:r>
    </w:p>
    <w:p w14:paraId="5CFF74A6" w14:textId="77777777" w:rsidR="005630DC" w:rsidRPr="00C03AD4" w:rsidRDefault="005630DC" w:rsidP="000C2DAE">
      <w:pPr>
        <w:rPr>
          <w:rFonts w:cstheme="minorHAnsi"/>
        </w:rPr>
      </w:pPr>
    </w:p>
    <w:p w14:paraId="3B3201F3" w14:textId="1B4A03A0" w:rsidR="00A86371" w:rsidRPr="00C03AD4" w:rsidRDefault="00A86371" w:rsidP="000C2DAE">
      <w:pPr>
        <w:rPr>
          <w:rFonts w:eastAsiaTheme="majorEastAsia" w:cstheme="minorHAnsi"/>
          <w:color w:val="2F5496" w:themeColor="accent1" w:themeShade="BF"/>
          <w:sz w:val="26"/>
          <w:szCs w:val="26"/>
        </w:rPr>
      </w:pPr>
      <w:r w:rsidRPr="00C03AD4">
        <w:rPr>
          <w:rFonts w:eastAsiaTheme="majorEastAsia" w:cstheme="minorHAnsi"/>
          <w:color w:val="2F5496" w:themeColor="accent1" w:themeShade="BF"/>
          <w:sz w:val="26"/>
          <w:szCs w:val="26"/>
        </w:rPr>
        <w:t>Background:</w:t>
      </w:r>
    </w:p>
    <w:p w14:paraId="39D0F123" w14:textId="6F35377F" w:rsidR="008B6CE9" w:rsidRPr="00C03AD4" w:rsidRDefault="008B6CE9" w:rsidP="000C2DAE">
      <w:pPr>
        <w:rPr>
          <w:rFonts w:cstheme="minorHAnsi"/>
        </w:rPr>
      </w:pPr>
      <w:r w:rsidRPr="00C03AD4">
        <w:rPr>
          <w:rFonts w:cstheme="minorHAnsi"/>
        </w:rPr>
        <w:t>The Uinta Basin Oil &amp; Gas Emission Inventory (UBEI) is made up of two main components</w:t>
      </w:r>
      <w:r w:rsidR="008821FA" w:rsidRPr="00C03AD4">
        <w:rPr>
          <w:rFonts w:cstheme="minorHAnsi"/>
        </w:rPr>
        <w:t>:</w:t>
      </w:r>
      <w:r w:rsidRPr="00C03AD4">
        <w:rPr>
          <w:rFonts w:cstheme="minorHAnsi"/>
        </w:rPr>
        <w:t xml:space="preserve"> (1) Operator Workbooks where operators provide prescribed data elements and emission estimates, and (2) Gap-Filling for emissions sources not covered in the Operator Workbooks. The emission estimates in the Operator Workbooks include emissions from storage tanks at production facilities. Tank emissions are estimated with software or GOR factors derived from sampling which assume equipment is functioning as intended. </w:t>
      </w:r>
      <w:bookmarkStart w:id="0" w:name="_Hlk65042034"/>
      <w:r w:rsidRPr="00B23499">
        <w:rPr>
          <w:rFonts w:cstheme="minorHAnsi"/>
        </w:rPr>
        <w:t xml:space="preserve">There are </w:t>
      </w:r>
      <w:r w:rsidR="00B23499" w:rsidRPr="00B23499">
        <w:rPr>
          <w:rFonts w:cstheme="minorHAnsi"/>
        </w:rPr>
        <w:t>8,001</w:t>
      </w:r>
      <w:r w:rsidRPr="00B23499">
        <w:rPr>
          <w:rFonts w:cstheme="minorHAnsi"/>
        </w:rPr>
        <w:t xml:space="preserve"> production facilities in the UBEI</w:t>
      </w:r>
      <w:r w:rsidR="0024328E" w:rsidRPr="00B23499">
        <w:rPr>
          <w:rFonts w:cstheme="minorHAnsi"/>
        </w:rPr>
        <w:t>2017-Update</w:t>
      </w:r>
      <w:r w:rsidRPr="00B23499">
        <w:rPr>
          <w:rFonts w:cstheme="minorHAnsi"/>
        </w:rPr>
        <w:t>. Of those</w:t>
      </w:r>
      <w:r w:rsidR="008821FA" w:rsidRPr="00B23499">
        <w:rPr>
          <w:rFonts w:cstheme="minorHAnsi"/>
        </w:rPr>
        <w:t>,</w:t>
      </w:r>
      <w:r w:rsidRPr="00B23499">
        <w:rPr>
          <w:rFonts w:cstheme="minorHAnsi"/>
        </w:rPr>
        <w:t xml:space="preserve"> </w:t>
      </w:r>
      <w:r w:rsidR="008777FD" w:rsidRPr="00B23499">
        <w:rPr>
          <w:rFonts w:cstheme="minorHAnsi"/>
        </w:rPr>
        <w:t>1</w:t>
      </w:r>
      <w:r w:rsidR="005C757C" w:rsidRPr="00B23499">
        <w:rPr>
          <w:rFonts w:cstheme="minorHAnsi"/>
        </w:rPr>
        <w:t>,</w:t>
      </w:r>
      <w:r w:rsidR="00B23499" w:rsidRPr="00B23499">
        <w:rPr>
          <w:rFonts w:cstheme="minorHAnsi"/>
        </w:rPr>
        <w:t>265</w:t>
      </w:r>
      <w:r w:rsidRPr="00B23499">
        <w:rPr>
          <w:rFonts w:cstheme="minorHAnsi"/>
        </w:rPr>
        <w:t xml:space="preserve"> </w:t>
      </w:r>
      <w:r w:rsidR="00ED11E2" w:rsidRPr="00B23499">
        <w:rPr>
          <w:rFonts w:cstheme="minorHAnsi"/>
        </w:rPr>
        <w:t xml:space="preserve">production facilities </w:t>
      </w:r>
      <w:r w:rsidRPr="00B23499">
        <w:rPr>
          <w:rFonts w:cstheme="minorHAnsi"/>
        </w:rPr>
        <w:t xml:space="preserve">report tanks </w:t>
      </w:r>
      <w:r w:rsidR="00ED11E2" w:rsidRPr="00B23499">
        <w:rPr>
          <w:rFonts w:cstheme="minorHAnsi"/>
        </w:rPr>
        <w:t>whose</w:t>
      </w:r>
      <w:r w:rsidRPr="00B23499">
        <w:rPr>
          <w:rFonts w:cstheme="minorHAnsi"/>
        </w:rPr>
        <w:t xml:space="preserve"> emission</w:t>
      </w:r>
      <w:r w:rsidR="00ED11E2" w:rsidRPr="00B23499">
        <w:rPr>
          <w:rFonts w:cstheme="minorHAnsi"/>
        </w:rPr>
        <w:t>s</w:t>
      </w:r>
      <w:r w:rsidRPr="00B23499">
        <w:rPr>
          <w:rFonts w:cstheme="minorHAnsi"/>
        </w:rPr>
        <w:t xml:space="preserve"> </w:t>
      </w:r>
      <w:r w:rsidR="00ED11E2" w:rsidRPr="00B23499">
        <w:rPr>
          <w:rFonts w:cstheme="minorHAnsi"/>
        </w:rPr>
        <w:t xml:space="preserve">are routed to </w:t>
      </w:r>
      <w:r w:rsidRPr="00B23499">
        <w:rPr>
          <w:rFonts w:cstheme="minorHAnsi"/>
        </w:rPr>
        <w:t>control devices</w:t>
      </w:r>
      <w:bookmarkEnd w:id="0"/>
      <w:r w:rsidR="00ED11E2" w:rsidRPr="00C03AD4">
        <w:rPr>
          <w:rFonts w:cstheme="minorHAnsi"/>
        </w:rPr>
        <w:t xml:space="preserve"> </w:t>
      </w:r>
      <w:r w:rsidR="005630DC" w:rsidRPr="00C03AD4">
        <w:rPr>
          <w:rFonts w:cstheme="minorHAnsi"/>
        </w:rPr>
        <w:t>where</w:t>
      </w:r>
      <w:r w:rsidR="00ED11E2" w:rsidRPr="00C03AD4">
        <w:rPr>
          <w:rFonts w:cstheme="minorHAnsi"/>
        </w:rPr>
        <w:t xml:space="preserve"> Operators reduce the estimated</w:t>
      </w:r>
      <w:r w:rsidRPr="00C03AD4">
        <w:rPr>
          <w:rFonts w:cstheme="minorHAnsi"/>
        </w:rPr>
        <w:t xml:space="preserve"> tank emissions by 95-98%</w:t>
      </w:r>
      <w:r w:rsidR="00ED11E2" w:rsidRPr="00C03AD4">
        <w:rPr>
          <w:rFonts w:cstheme="minorHAnsi"/>
        </w:rPr>
        <w:t>, mostly through the use of combustors.</w:t>
      </w:r>
    </w:p>
    <w:p w14:paraId="2A737472" w14:textId="6AD6BB97" w:rsidR="00992588" w:rsidRDefault="009D5BF8" w:rsidP="007B7884">
      <w:pPr>
        <w:rPr>
          <w:rFonts w:cstheme="minorHAnsi"/>
        </w:rPr>
      </w:pPr>
      <w:r w:rsidRPr="00C03AD4">
        <w:rPr>
          <w:rFonts w:cstheme="minorHAnsi"/>
        </w:rPr>
        <w:t>EPA has observed wide spread instances of storage tank emissions not making it to their intended control devices. A description of these findings along with detailed design and operation and maintenance considerations on the tank vapor capture system were provided in a compliance alert</w:t>
      </w:r>
      <w:r w:rsidRPr="00C03AD4">
        <w:rPr>
          <w:rStyle w:val="FootnoteReference"/>
          <w:rFonts w:cstheme="minorHAnsi"/>
        </w:rPr>
        <w:footnoteReference w:id="2"/>
      </w:r>
      <w:r w:rsidRPr="00C03AD4">
        <w:rPr>
          <w:rFonts w:cstheme="minorHAnsi"/>
        </w:rPr>
        <w:t xml:space="preserve"> issued in September 2015. </w:t>
      </w:r>
      <w:r w:rsidR="00583F5C" w:rsidRPr="00C03AD4">
        <w:rPr>
          <w:rFonts w:cstheme="minorHAnsi"/>
        </w:rPr>
        <w:t>Studies and i</w:t>
      </w:r>
      <w:r w:rsidRPr="00C03AD4">
        <w:rPr>
          <w:rFonts w:cstheme="minorHAnsi"/>
        </w:rPr>
        <w:t xml:space="preserve">nspection observations </w:t>
      </w:r>
      <w:r w:rsidR="00583F5C" w:rsidRPr="00C03AD4">
        <w:rPr>
          <w:rFonts w:cstheme="minorHAnsi"/>
        </w:rPr>
        <w:t>c</w:t>
      </w:r>
      <w:r w:rsidRPr="00C03AD4">
        <w:rPr>
          <w:rFonts w:cstheme="minorHAnsi"/>
        </w:rPr>
        <w:t xml:space="preserve">onducted in the Uinta Basin have identified a similar prevalence as summarized in </w:t>
      </w:r>
      <w:r w:rsidR="00992588">
        <w:rPr>
          <w:rFonts w:cstheme="minorHAnsi"/>
        </w:rPr>
        <w:t>T</w:t>
      </w:r>
      <w:r w:rsidRPr="00C03AD4">
        <w:rPr>
          <w:rFonts w:cstheme="minorHAnsi"/>
        </w:rPr>
        <w:t>able</w:t>
      </w:r>
      <w:r w:rsidR="00992588">
        <w:rPr>
          <w:rFonts w:cstheme="minorHAnsi"/>
        </w:rPr>
        <w:t xml:space="preserve"> 1.</w:t>
      </w:r>
    </w:p>
    <w:p w14:paraId="4D06BB1D" w14:textId="490E89FC" w:rsidR="007B7884" w:rsidRDefault="00992588" w:rsidP="007B7884">
      <w:r w:rsidRPr="00992588">
        <w:rPr>
          <w:rFonts w:cstheme="minorHAnsi"/>
          <w:b/>
        </w:rPr>
        <w:t>Table 1.</w:t>
      </w:r>
      <w:r>
        <w:rPr>
          <w:rFonts w:cstheme="minorHAnsi"/>
        </w:rPr>
        <w:t xml:space="preserve"> Uinta Basin Studies and Observations on Controlled Tank Emissions</w:t>
      </w:r>
      <w:r w:rsidR="009D5BF8" w:rsidRPr="00C03AD4">
        <w:rPr>
          <w:rFonts w:cstheme="minorHAnsi"/>
        </w:rPr>
        <w:t xml:space="preserve"> </w:t>
      </w:r>
    </w:p>
    <w:tbl>
      <w:tblPr>
        <w:tblStyle w:val="TableGrid"/>
        <w:tblW w:w="0" w:type="auto"/>
        <w:tblLayout w:type="fixed"/>
        <w:tblLook w:val="04A0" w:firstRow="1" w:lastRow="0" w:firstColumn="1" w:lastColumn="0" w:noHBand="0" w:noVBand="1"/>
      </w:tblPr>
      <w:tblGrid>
        <w:gridCol w:w="2340"/>
        <w:gridCol w:w="2340"/>
        <w:gridCol w:w="2340"/>
        <w:gridCol w:w="2340"/>
      </w:tblGrid>
      <w:tr w:rsidR="007B7884" w14:paraId="0DA22B95" w14:textId="77777777" w:rsidTr="00C03AD4">
        <w:tc>
          <w:tcPr>
            <w:tcW w:w="2340" w:type="dxa"/>
          </w:tcPr>
          <w:p w14:paraId="1645263F" w14:textId="77777777" w:rsidR="007B7884" w:rsidRDefault="007B7884" w:rsidP="00C03AD4">
            <w:r w:rsidRPr="00C03AD4">
              <w:rPr>
                <w:rFonts w:eastAsia="Calibri" w:cstheme="minorHAnsi"/>
                <w:b/>
                <w:bCs/>
              </w:rPr>
              <w:t>Study</w:t>
            </w:r>
          </w:p>
          <w:p w14:paraId="75D90923" w14:textId="77777777" w:rsidR="007B7884" w:rsidRDefault="007B7884" w:rsidP="00C03AD4">
            <w:r w:rsidRPr="00C03AD4">
              <w:rPr>
                <w:rFonts w:eastAsia="Calibri" w:cstheme="minorHAnsi"/>
                <w:b/>
                <w:bCs/>
              </w:rPr>
              <w:t>Inspection</w:t>
            </w:r>
          </w:p>
        </w:tc>
        <w:tc>
          <w:tcPr>
            <w:tcW w:w="2340" w:type="dxa"/>
          </w:tcPr>
          <w:p w14:paraId="22408425" w14:textId="77777777" w:rsidR="007B7884" w:rsidRDefault="007B7884" w:rsidP="00C03AD4">
            <w:pPr>
              <w:jc w:val="center"/>
            </w:pPr>
            <w:r w:rsidRPr="00C03AD4">
              <w:rPr>
                <w:rFonts w:eastAsia="Calibri" w:cstheme="minorHAnsi"/>
                <w:b/>
                <w:bCs/>
              </w:rPr>
              <w:t xml:space="preserve">% Sites w/ Controlled Tanks Emitting </w:t>
            </w:r>
          </w:p>
        </w:tc>
        <w:tc>
          <w:tcPr>
            <w:tcW w:w="2340" w:type="dxa"/>
          </w:tcPr>
          <w:p w14:paraId="201A3FCF" w14:textId="77777777" w:rsidR="007B7884" w:rsidRDefault="007B7884" w:rsidP="00C03AD4">
            <w:pPr>
              <w:jc w:val="center"/>
            </w:pPr>
            <w:r w:rsidRPr="00C03AD4">
              <w:rPr>
                <w:rFonts w:eastAsia="Calibri" w:cstheme="minorHAnsi"/>
                <w:b/>
                <w:bCs/>
              </w:rPr>
              <w:t>Year</w:t>
            </w:r>
          </w:p>
        </w:tc>
        <w:tc>
          <w:tcPr>
            <w:tcW w:w="2340" w:type="dxa"/>
          </w:tcPr>
          <w:p w14:paraId="2A0E9CCD" w14:textId="77777777" w:rsidR="007B7884" w:rsidRDefault="007B7884" w:rsidP="00C03AD4">
            <w:pPr>
              <w:jc w:val="center"/>
            </w:pPr>
            <w:r w:rsidRPr="00C03AD4">
              <w:rPr>
                <w:rFonts w:eastAsia="Calibri" w:cstheme="minorHAnsi"/>
                <w:b/>
                <w:bCs/>
              </w:rPr>
              <w:t># Sites Surveyed</w:t>
            </w:r>
          </w:p>
        </w:tc>
      </w:tr>
      <w:tr w:rsidR="007B7884" w14:paraId="18D50E76" w14:textId="77777777" w:rsidTr="00C03AD4">
        <w:tc>
          <w:tcPr>
            <w:tcW w:w="2340" w:type="dxa"/>
          </w:tcPr>
          <w:p w14:paraId="216EB511" w14:textId="05CAC765" w:rsidR="007B7884" w:rsidRDefault="007B7884" w:rsidP="00C03AD4">
            <w:r w:rsidRPr="00C03AD4">
              <w:rPr>
                <w:rFonts w:eastAsia="Calibri" w:cstheme="minorHAnsi"/>
              </w:rPr>
              <w:t>STEPP - Storage Tank Emissions Pilot Project</w:t>
            </w:r>
            <w:r w:rsidRPr="00C03AD4">
              <w:rPr>
                <w:rStyle w:val="FootnoteReference"/>
                <w:rFonts w:eastAsia="Calibri" w:cstheme="minorHAnsi"/>
              </w:rPr>
              <w:footnoteReference w:id="3"/>
            </w:r>
            <w:r w:rsidRPr="00C03AD4">
              <w:rPr>
                <w:rFonts w:eastAsia="Calibri" w:cstheme="minorHAnsi"/>
              </w:rPr>
              <w:t xml:space="preserve"> </w:t>
            </w:r>
          </w:p>
        </w:tc>
        <w:tc>
          <w:tcPr>
            <w:tcW w:w="2340" w:type="dxa"/>
          </w:tcPr>
          <w:p w14:paraId="2F252106" w14:textId="77777777" w:rsidR="007B7884" w:rsidRDefault="007B7884" w:rsidP="00C03AD4">
            <w:pPr>
              <w:jc w:val="center"/>
            </w:pPr>
            <w:r w:rsidRPr="00C03AD4">
              <w:rPr>
                <w:rFonts w:eastAsia="Calibri" w:cstheme="minorHAnsi"/>
              </w:rPr>
              <w:t>39%</w:t>
            </w:r>
          </w:p>
        </w:tc>
        <w:tc>
          <w:tcPr>
            <w:tcW w:w="2340" w:type="dxa"/>
          </w:tcPr>
          <w:p w14:paraId="3E70A079" w14:textId="77777777" w:rsidR="007B7884" w:rsidRDefault="007B7884" w:rsidP="00C03AD4">
            <w:pPr>
              <w:jc w:val="center"/>
            </w:pPr>
            <w:r w:rsidRPr="00C03AD4">
              <w:rPr>
                <w:rFonts w:eastAsia="Calibri" w:cstheme="minorHAnsi"/>
              </w:rPr>
              <w:t>2016</w:t>
            </w:r>
          </w:p>
        </w:tc>
        <w:tc>
          <w:tcPr>
            <w:tcW w:w="2340" w:type="dxa"/>
          </w:tcPr>
          <w:p w14:paraId="01C90BC4" w14:textId="77777777" w:rsidR="007B7884" w:rsidRDefault="007B7884" w:rsidP="00C03AD4">
            <w:pPr>
              <w:jc w:val="center"/>
            </w:pPr>
            <w:r w:rsidRPr="00C03AD4">
              <w:rPr>
                <w:rFonts w:eastAsia="Calibri" w:cstheme="minorHAnsi"/>
              </w:rPr>
              <w:t>454</w:t>
            </w:r>
          </w:p>
        </w:tc>
      </w:tr>
      <w:tr w:rsidR="007B7884" w14:paraId="51340C70" w14:textId="77777777" w:rsidTr="00C03AD4">
        <w:tc>
          <w:tcPr>
            <w:tcW w:w="2340" w:type="dxa"/>
          </w:tcPr>
          <w:p w14:paraId="40987772" w14:textId="22605077" w:rsidR="007B7884" w:rsidRDefault="007B7884" w:rsidP="00C03AD4">
            <w:r w:rsidRPr="00C03AD4">
              <w:rPr>
                <w:rFonts w:eastAsia="Calibri" w:cstheme="minorHAnsi"/>
              </w:rPr>
              <w:t>Aerial &amp; Ground IR Survey</w:t>
            </w:r>
            <w:r w:rsidR="00B86125" w:rsidRPr="00C03AD4">
              <w:rPr>
                <w:rStyle w:val="FootnoteReference"/>
                <w:rFonts w:eastAsia="Calibri" w:cstheme="minorHAnsi"/>
              </w:rPr>
              <w:footnoteReference w:id="4"/>
            </w:r>
            <w:r w:rsidR="00B86125" w:rsidRPr="00C03AD4">
              <w:rPr>
                <w:rFonts w:eastAsia="Calibri" w:cstheme="minorHAnsi"/>
              </w:rPr>
              <w:t xml:space="preserve"> </w:t>
            </w:r>
          </w:p>
        </w:tc>
        <w:tc>
          <w:tcPr>
            <w:tcW w:w="2340" w:type="dxa"/>
          </w:tcPr>
          <w:p w14:paraId="342B3232" w14:textId="77777777" w:rsidR="007B7884" w:rsidRDefault="007B7884" w:rsidP="00C03AD4">
            <w:pPr>
              <w:jc w:val="center"/>
            </w:pPr>
            <w:r w:rsidRPr="00C03AD4">
              <w:rPr>
                <w:rFonts w:eastAsia="Calibri" w:cstheme="minorHAnsi"/>
              </w:rPr>
              <w:t>31%</w:t>
            </w:r>
          </w:p>
        </w:tc>
        <w:tc>
          <w:tcPr>
            <w:tcW w:w="2340" w:type="dxa"/>
          </w:tcPr>
          <w:p w14:paraId="78318393" w14:textId="77777777" w:rsidR="007B7884" w:rsidRDefault="007B7884" w:rsidP="00C03AD4">
            <w:pPr>
              <w:jc w:val="center"/>
            </w:pPr>
            <w:r w:rsidRPr="00C03AD4">
              <w:rPr>
                <w:rFonts w:eastAsia="Calibri" w:cstheme="minorHAnsi"/>
              </w:rPr>
              <w:t>2018</w:t>
            </w:r>
          </w:p>
        </w:tc>
        <w:tc>
          <w:tcPr>
            <w:tcW w:w="2340" w:type="dxa"/>
          </w:tcPr>
          <w:p w14:paraId="1E918F52" w14:textId="77777777" w:rsidR="007B7884" w:rsidRDefault="007B7884" w:rsidP="00C03AD4">
            <w:pPr>
              <w:jc w:val="center"/>
            </w:pPr>
            <w:r w:rsidRPr="00C03AD4">
              <w:rPr>
                <w:rFonts w:eastAsia="Calibri" w:cstheme="minorHAnsi"/>
              </w:rPr>
              <w:t>517</w:t>
            </w:r>
          </w:p>
        </w:tc>
      </w:tr>
      <w:tr w:rsidR="007B7884" w14:paraId="174D98C8" w14:textId="77777777" w:rsidTr="00C03AD4">
        <w:tc>
          <w:tcPr>
            <w:tcW w:w="2340" w:type="dxa"/>
          </w:tcPr>
          <w:p w14:paraId="54CE01BF" w14:textId="77777777" w:rsidR="007B7884" w:rsidRDefault="007B7884" w:rsidP="00C03AD4">
            <w:r w:rsidRPr="00C03AD4">
              <w:rPr>
                <w:rFonts w:eastAsia="Calibri" w:cstheme="minorHAnsi"/>
              </w:rPr>
              <w:t xml:space="preserve">EPA Inspections </w:t>
            </w:r>
          </w:p>
        </w:tc>
        <w:tc>
          <w:tcPr>
            <w:tcW w:w="2340" w:type="dxa"/>
          </w:tcPr>
          <w:p w14:paraId="7E25ED26" w14:textId="77777777" w:rsidR="007B7884" w:rsidRDefault="007B7884" w:rsidP="00C03AD4">
            <w:pPr>
              <w:jc w:val="center"/>
            </w:pPr>
            <w:r w:rsidRPr="00C03AD4">
              <w:rPr>
                <w:rFonts w:eastAsia="Calibri" w:cstheme="minorHAnsi"/>
              </w:rPr>
              <w:t>47%</w:t>
            </w:r>
          </w:p>
        </w:tc>
        <w:tc>
          <w:tcPr>
            <w:tcW w:w="2340" w:type="dxa"/>
          </w:tcPr>
          <w:p w14:paraId="1007D92C" w14:textId="77777777" w:rsidR="007B7884" w:rsidRDefault="007B7884" w:rsidP="00C03AD4">
            <w:pPr>
              <w:jc w:val="center"/>
            </w:pPr>
            <w:r w:rsidRPr="00C03AD4">
              <w:rPr>
                <w:rFonts w:eastAsia="Calibri" w:cstheme="minorHAnsi"/>
              </w:rPr>
              <w:t>2018</w:t>
            </w:r>
          </w:p>
        </w:tc>
        <w:tc>
          <w:tcPr>
            <w:tcW w:w="2340" w:type="dxa"/>
          </w:tcPr>
          <w:p w14:paraId="182324F5" w14:textId="77777777" w:rsidR="007B7884" w:rsidRDefault="007B7884" w:rsidP="00C03AD4">
            <w:pPr>
              <w:jc w:val="center"/>
            </w:pPr>
            <w:r w:rsidRPr="00C03AD4">
              <w:rPr>
                <w:rFonts w:eastAsia="Calibri" w:cstheme="minorHAnsi"/>
              </w:rPr>
              <w:t>88</w:t>
            </w:r>
          </w:p>
        </w:tc>
      </w:tr>
    </w:tbl>
    <w:p w14:paraId="71A2D579" w14:textId="77777777" w:rsidR="00C03AD4" w:rsidRDefault="00C03AD4" w:rsidP="00A12478">
      <w:pPr>
        <w:pStyle w:val="Heading2"/>
        <w:rPr>
          <w:rFonts w:asciiTheme="minorHAnsi" w:hAnsiTheme="minorHAnsi" w:cstheme="minorHAnsi"/>
        </w:rPr>
      </w:pPr>
    </w:p>
    <w:p w14:paraId="560921E7" w14:textId="77777777" w:rsidR="00A12478" w:rsidRPr="00C03AD4" w:rsidRDefault="00A12478" w:rsidP="00A12478">
      <w:pPr>
        <w:pStyle w:val="Heading2"/>
        <w:rPr>
          <w:rFonts w:asciiTheme="minorHAnsi" w:hAnsiTheme="minorHAnsi" w:cstheme="minorHAnsi"/>
        </w:rPr>
      </w:pPr>
      <w:r w:rsidRPr="00C03AD4">
        <w:rPr>
          <w:rFonts w:asciiTheme="minorHAnsi" w:hAnsiTheme="minorHAnsi" w:cstheme="minorHAnsi"/>
        </w:rPr>
        <w:t>Method:</w:t>
      </w:r>
    </w:p>
    <w:p w14:paraId="6AD62701" w14:textId="0F5E2B41" w:rsidR="00172049" w:rsidRPr="00C03AD4" w:rsidRDefault="008821FA" w:rsidP="00A12478">
      <w:pPr>
        <w:pStyle w:val="ListParagraph"/>
        <w:numPr>
          <w:ilvl w:val="0"/>
          <w:numId w:val="3"/>
        </w:numPr>
        <w:rPr>
          <w:rFonts w:asciiTheme="minorHAnsi" w:eastAsia="Times New Roman" w:hAnsiTheme="minorHAnsi" w:cstheme="minorHAnsi"/>
        </w:rPr>
      </w:pPr>
      <w:r w:rsidRPr="00C03AD4">
        <w:rPr>
          <w:rFonts w:asciiTheme="minorHAnsi" w:eastAsia="Times New Roman" w:hAnsiTheme="minorHAnsi" w:cstheme="minorHAnsi"/>
        </w:rPr>
        <w:t>From Uinta Basin specific studies and field observations</w:t>
      </w:r>
      <w:r w:rsidR="00992588">
        <w:rPr>
          <w:rFonts w:asciiTheme="minorHAnsi" w:eastAsia="Times New Roman" w:hAnsiTheme="minorHAnsi" w:cstheme="minorHAnsi"/>
        </w:rPr>
        <w:t xml:space="preserve"> in Table 1</w:t>
      </w:r>
      <w:r w:rsidRPr="00C03AD4">
        <w:rPr>
          <w:rFonts w:asciiTheme="minorHAnsi" w:eastAsia="Times New Roman" w:hAnsiTheme="minorHAnsi" w:cstheme="minorHAnsi"/>
        </w:rPr>
        <w:t>, and to be conservative, assume that 30% of the production facilities with controlled tanks experience emissions not making it to their intended control device.</w:t>
      </w:r>
    </w:p>
    <w:p w14:paraId="37668F95" w14:textId="47B65D60" w:rsidR="00A12478" w:rsidRPr="00C03AD4" w:rsidRDefault="00A12478" w:rsidP="00A12478">
      <w:pPr>
        <w:pStyle w:val="ListParagraph"/>
        <w:numPr>
          <w:ilvl w:val="0"/>
          <w:numId w:val="3"/>
        </w:numPr>
        <w:rPr>
          <w:rFonts w:asciiTheme="minorHAnsi" w:eastAsia="Times New Roman" w:hAnsiTheme="minorHAnsi" w:cstheme="minorHAnsi"/>
        </w:rPr>
      </w:pPr>
      <w:r w:rsidRPr="00C03AD4">
        <w:rPr>
          <w:rFonts w:asciiTheme="minorHAnsi" w:eastAsia="Times New Roman" w:hAnsiTheme="minorHAnsi" w:cstheme="minorHAnsi"/>
        </w:rPr>
        <w:t xml:space="preserve">From the </w:t>
      </w:r>
      <w:r w:rsidR="00583F5C" w:rsidRPr="00C03AD4">
        <w:rPr>
          <w:rFonts w:asciiTheme="minorHAnsi" w:eastAsia="Times New Roman" w:hAnsiTheme="minorHAnsi" w:cstheme="minorHAnsi"/>
        </w:rPr>
        <w:t>UBEI</w:t>
      </w:r>
      <w:r w:rsidR="0024328E">
        <w:rPr>
          <w:rFonts w:asciiTheme="minorHAnsi" w:eastAsia="Times New Roman" w:hAnsiTheme="minorHAnsi" w:cstheme="minorHAnsi"/>
        </w:rPr>
        <w:t>2017-Update</w:t>
      </w:r>
      <w:r w:rsidR="00156038">
        <w:rPr>
          <w:rFonts w:asciiTheme="minorHAnsi" w:eastAsia="Times New Roman" w:hAnsiTheme="minorHAnsi" w:cstheme="minorHAnsi"/>
        </w:rPr>
        <w:t xml:space="preserve"> (v.88)</w:t>
      </w:r>
      <w:r w:rsidR="00BA27AE" w:rsidRPr="00C03AD4">
        <w:rPr>
          <w:rFonts w:asciiTheme="minorHAnsi" w:eastAsia="Times New Roman" w:hAnsiTheme="minorHAnsi" w:cstheme="minorHAnsi"/>
        </w:rPr>
        <w:t xml:space="preserve">, </w:t>
      </w:r>
      <w:r w:rsidR="005226F0">
        <w:rPr>
          <w:rFonts w:asciiTheme="minorHAnsi" w:eastAsia="Times New Roman" w:hAnsiTheme="minorHAnsi" w:cstheme="minorHAnsi"/>
        </w:rPr>
        <w:t xml:space="preserve">select </w:t>
      </w:r>
      <w:r w:rsidR="00BA27AE" w:rsidRPr="00C03AD4">
        <w:rPr>
          <w:rFonts w:asciiTheme="minorHAnsi" w:eastAsia="Times New Roman" w:hAnsiTheme="minorHAnsi" w:cstheme="minorHAnsi"/>
        </w:rPr>
        <w:t xml:space="preserve">wellpads </w:t>
      </w:r>
      <w:r w:rsidR="005226F0">
        <w:rPr>
          <w:rFonts w:asciiTheme="minorHAnsi" w:eastAsia="Times New Roman" w:hAnsiTheme="minorHAnsi" w:cstheme="minorHAnsi"/>
        </w:rPr>
        <w:t>with</w:t>
      </w:r>
      <w:r w:rsidR="00BA27AE" w:rsidRPr="00C03AD4">
        <w:rPr>
          <w:rFonts w:asciiTheme="minorHAnsi" w:eastAsia="Times New Roman" w:hAnsiTheme="minorHAnsi" w:cstheme="minorHAnsi"/>
        </w:rPr>
        <w:t xml:space="preserve"> Controlled tanks </w:t>
      </w:r>
      <w:r w:rsidR="005226F0">
        <w:rPr>
          <w:rFonts w:asciiTheme="minorHAnsi" w:eastAsia="Times New Roman" w:hAnsiTheme="minorHAnsi" w:cstheme="minorHAnsi"/>
        </w:rPr>
        <w:t>in</w:t>
      </w:r>
      <w:r w:rsidR="00BA27AE" w:rsidRPr="00C03AD4">
        <w:rPr>
          <w:rFonts w:asciiTheme="minorHAnsi" w:eastAsia="Times New Roman" w:hAnsiTheme="minorHAnsi" w:cstheme="minorHAnsi"/>
        </w:rPr>
        <w:t xml:space="preserve"> Uintah &amp; Duchesne counties</w:t>
      </w:r>
      <w:r w:rsidRPr="00C03AD4">
        <w:rPr>
          <w:rFonts w:asciiTheme="minorHAnsi" w:eastAsia="Times New Roman" w:hAnsiTheme="minorHAnsi" w:cstheme="minorHAnsi"/>
        </w:rPr>
        <w:t xml:space="preserve">. </w:t>
      </w:r>
    </w:p>
    <w:p w14:paraId="749F19D9" w14:textId="5EC77F26" w:rsidR="00A12478" w:rsidRPr="00C03AD4" w:rsidRDefault="7F8BB1C9" w:rsidP="7F8BB1C9">
      <w:pPr>
        <w:pStyle w:val="ListParagraph"/>
        <w:numPr>
          <w:ilvl w:val="0"/>
          <w:numId w:val="3"/>
        </w:numPr>
        <w:rPr>
          <w:rFonts w:asciiTheme="minorHAnsi" w:eastAsia="Times New Roman" w:hAnsiTheme="minorHAnsi" w:cstheme="minorBidi"/>
        </w:rPr>
      </w:pPr>
      <w:r w:rsidRPr="7F8BB1C9">
        <w:rPr>
          <w:rFonts w:asciiTheme="minorHAnsi" w:eastAsia="Times New Roman" w:hAnsiTheme="minorHAnsi" w:cstheme="minorBidi"/>
        </w:rPr>
        <w:t>From these data 30% were randomly selected to be malfunctioning.</w:t>
      </w:r>
    </w:p>
    <w:p w14:paraId="16AF880E" w14:textId="77777777" w:rsidR="00A12478" w:rsidRPr="00C03AD4" w:rsidRDefault="00A12478" w:rsidP="00A12478">
      <w:pPr>
        <w:pStyle w:val="ListParagraph"/>
        <w:numPr>
          <w:ilvl w:val="0"/>
          <w:numId w:val="3"/>
        </w:numPr>
        <w:rPr>
          <w:rFonts w:asciiTheme="minorHAnsi" w:eastAsia="Times New Roman" w:hAnsiTheme="minorHAnsi" w:cstheme="minorHAnsi"/>
        </w:rPr>
      </w:pPr>
      <w:r w:rsidRPr="00C03AD4">
        <w:rPr>
          <w:rFonts w:asciiTheme="minorHAnsi" w:eastAsia="Times New Roman" w:hAnsiTheme="minorHAnsi" w:cstheme="minorHAnsi"/>
        </w:rPr>
        <w:t>For these selected facilities their controlled emissions were replaced with uncontrolled emissions which was based on their reported control percent.</w:t>
      </w:r>
    </w:p>
    <w:p w14:paraId="67033C0D" w14:textId="12609DF5" w:rsidR="00A12478" w:rsidRPr="00C03AD4" w:rsidRDefault="00A12478" w:rsidP="00A12478">
      <w:pPr>
        <w:pStyle w:val="ListParagraph"/>
        <w:numPr>
          <w:ilvl w:val="0"/>
          <w:numId w:val="3"/>
        </w:numPr>
        <w:rPr>
          <w:rFonts w:asciiTheme="minorHAnsi" w:eastAsia="Times New Roman" w:hAnsiTheme="minorHAnsi" w:cstheme="minorHAnsi"/>
        </w:rPr>
      </w:pPr>
      <w:r w:rsidRPr="00C03AD4">
        <w:rPr>
          <w:rFonts w:asciiTheme="minorHAnsi" w:eastAsia="Times New Roman" w:hAnsiTheme="minorHAnsi" w:cstheme="minorHAnsi"/>
        </w:rPr>
        <w:t>Step 2 and 3 were repeated 10000 times</w:t>
      </w:r>
      <w:r w:rsidR="005226F0">
        <w:rPr>
          <w:rFonts w:asciiTheme="minorHAnsi" w:eastAsia="Times New Roman" w:hAnsiTheme="minorHAnsi" w:cstheme="minorHAnsi"/>
        </w:rPr>
        <w:t xml:space="preserve"> as part of a monte carlo simulation</w:t>
      </w:r>
      <w:r w:rsidRPr="00C03AD4">
        <w:rPr>
          <w:rFonts w:asciiTheme="minorHAnsi" w:eastAsia="Times New Roman" w:hAnsiTheme="minorHAnsi" w:cstheme="minorHAnsi"/>
        </w:rPr>
        <w:t>.</w:t>
      </w:r>
    </w:p>
    <w:p w14:paraId="4980F7E2" w14:textId="4D9A60BA" w:rsidR="00172049" w:rsidRPr="00C03AD4" w:rsidRDefault="00A12478" w:rsidP="00A12478">
      <w:pPr>
        <w:pStyle w:val="ListParagraph"/>
        <w:numPr>
          <w:ilvl w:val="0"/>
          <w:numId w:val="3"/>
        </w:numPr>
        <w:rPr>
          <w:rFonts w:asciiTheme="minorHAnsi" w:eastAsia="Times New Roman" w:hAnsiTheme="minorHAnsi" w:cstheme="minorHAnsi"/>
        </w:rPr>
      </w:pPr>
      <w:r w:rsidRPr="00C03AD4">
        <w:rPr>
          <w:rFonts w:asciiTheme="minorHAnsi" w:eastAsia="Times New Roman" w:hAnsiTheme="minorHAnsi" w:cstheme="minorHAnsi"/>
        </w:rPr>
        <w:t xml:space="preserve">From these resultant values the controlled </w:t>
      </w:r>
      <w:r w:rsidR="00172049" w:rsidRPr="00C03AD4">
        <w:rPr>
          <w:rFonts w:asciiTheme="minorHAnsi" w:eastAsia="Times New Roman" w:hAnsiTheme="minorHAnsi" w:cstheme="minorHAnsi"/>
        </w:rPr>
        <w:t>VOC</w:t>
      </w:r>
      <w:r w:rsidRPr="00C03AD4">
        <w:rPr>
          <w:rFonts w:asciiTheme="minorHAnsi" w:eastAsia="Times New Roman" w:hAnsiTheme="minorHAnsi" w:cstheme="minorHAnsi"/>
        </w:rPr>
        <w:t xml:space="preserve"> values were subtracted so as to only have those extra emissions what would have come from</w:t>
      </w:r>
      <w:r w:rsidR="005226F0">
        <w:rPr>
          <w:rFonts w:asciiTheme="minorHAnsi" w:eastAsia="Times New Roman" w:hAnsiTheme="minorHAnsi" w:cstheme="minorHAnsi"/>
        </w:rPr>
        <w:t xml:space="preserve"> a </w:t>
      </w:r>
      <w:r w:rsidRPr="00C03AD4">
        <w:rPr>
          <w:rFonts w:asciiTheme="minorHAnsi" w:eastAsia="Times New Roman" w:hAnsiTheme="minorHAnsi" w:cstheme="minorHAnsi"/>
        </w:rPr>
        <w:t>malfunctioning</w:t>
      </w:r>
      <w:r w:rsidR="005226F0">
        <w:rPr>
          <w:rFonts w:asciiTheme="minorHAnsi" w:eastAsia="Times New Roman" w:hAnsiTheme="minorHAnsi" w:cstheme="minorHAnsi"/>
        </w:rPr>
        <w:t xml:space="preserve"> system</w:t>
      </w:r>
      <w:r w:rsidRPr="00C03AD4">
        <w:rPr>
          <w:rFonts w:asciiTheme="minorHAnsi" w:eastAsia="Times New Roman" w:hAnsiTheme="minorHAnsi" w:cstheme="minorHAnsi"/>
        </w:rPr>
        <w:t>.</w:t>
      </w:r>
    </w:p>
    <w:p w14:paraId="30187F01" w14:textId="77777777" w:rsidR="00A12478" w:rsidRPr="00A12478" w:rsidRDefault="00A12478" w:rsidP="00A12478"/>
    <w:p w14:paraId="1787637F" w14:textId="1329A81B" w:rsidR="6F7DFBC3" w:rsidRPr="00C03AD4" w:rsidRDefault="00F24144" w:rsidP="00F24144">
      <w:pPr>
        <w:pStyle w:val="Heading2"/>
        <w:rPr>
          <w:rFonts w:asciiTheme="minorHAnsi" w:hAnsiTheme="minorHAnsi" w:cstheme="minorHAnsi"/>
        </w:rPr>
      </w:pPr>
      <w:r w:rsidRPr="00C03AD4">
        <w:rPr>
          <w:rFonts w:asciiTheme="minorHAnsi" w:hAnsiTheme="minorHAnsi" w:cstheme="minorHAnsi"/>
        </w:rPr>
        <w:t>Results:</w:t>
      </w:r>
    </w:p>
    <w:p w14:paraId="05F30094" w14:textId="79D3411C" w:rsidR="005226F0" w:rsidRDefault="005226F0">
      <w:r>
        <w:t>We found that in the 10</w:t>
      </w:r>
      <w:r w:rsidR="006B24D7">
        <w:t>,</w:t>
      </w:r>
      <w:r>
        <w:t xml:space="preserve">000 run monte carlo simulation that our mean extra </w:t>
      </w:r>
      <w:r w:rsidR="00992588">
        <w:t xml:space="preserve">VOC </w:t>
      </w:r>
      <w:r>
        <w:t>emission</w:t>
      </w:r>
      <w:r w:rsidR="00992588">
        <w:t>s</w:t>
      </w:r>
      <w:r>
        <w:t xml:space="preserve"> that would be generated from </w:t>
      </w:r>
      <w:r w:rsidR="00992588">
        <w:t>storage tank emissions not making it to their intended control device</w:t>
      </w:r>
      <w:r>
        <w:t xml:space="preserve"> would be </w:t>
      </w:r>
      <w:r w:rsidR="00397B9C">
        <w:t>1</w:t>
      </w:r>
      <w:r w:rsidR="00156038">
        <w:t>5</w:t>
      </w:r>
      <w:r w:rsidR="00397B9C">
        <w:t>,</w:t>
      </w:r>
      <w:r w:rsidR="00156038">
        <w:t>040</w:t>
      </w:r>
      <w:r w:rsidR="0024328E">
        <w:t xml:space="preserve"> </w:t>
      </w:r>
      <w:r w:rsidR="003661A2">
        <w:rPr>
          <w:rFonts w:cstheme="minorHAnsi"/>
        </w:rPr>
        <w:t xml:space="preserve">± </w:t>
      </w:r>
      <w:r w:rsidR="00397B9C">
        <w:t>2</w:t>
      </w:r>
      <w:r w:rsidR="00C72A1B">
        <w:t>216</w:t>
      </w:r>
      <w:r w:rsidR="003661A2">
        <w:t xml:space="preserve"> </w:t>
      </w:r>
      <w:r w:rsidR="00992588">
        <w:t>tons per year (tpy) VOCs</w:t>
      </w:r>
      <w:r>
        <w:t xml:space="preserve"> (</w:t>
      </w:r>
      <w:r w:rsidR="00992588">
        <w:t>F</w:t>
      </w:r>
      <w:r w:rsidR="003661A2">
        <w:t>igure 1</w:t>
      </w:r>
      <w:r>
        <w:t>).  We propose a</w:t>
      </w:r>
      <w:r w:rsidRPr="005226F0">
        <w:t>dd</w:t>
      </w:r>
      <w:r>
        <w:t>ing</w:t>
      </w:r>
      <w:r w:rsidRPr="005226F0">
        <w:t xml:space="preserve"> a ‘Gap-Filling’ line item to the 2017 UBEI to account for storage tank emissions not making it to their intended control devices.</w:t>
      </w:r>
    </w:p>
    <w:p w14:paraId="71A5D1FD" w14:textId="0175D41F" w:rsidR="005226F0" w:rsidRDefault="005226F0"/>
    <w:p w14:paraId="62C9C244" w14:textId="24DE78C8" w:rsidR="005226F0" w:rsidRDefault="00156038" w:rsidP="00992588">
      <w:pPr>
        <w:keepNext/>
        <w:jc w:val="center"/>
      </w:pPr>
      <w:r>
        <w:rPr>
          <w:noProof/>
        </w:rPr>
        <w:drawing>
          <wp:inline distT="0" distB="0" distL="0" distR="0" wp14:anchorId="05CC554B" wp14:editId="5B03F1B2">
            <wp:extent cx="4940489" cy="3666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52414" cy="3675485"/>
                    </a:xfrm>
                    <a:prstGeom prst="rect">
                      <a:avLst/>
                    </a:prstGeom>
                  </pic:spPr>
                </pic:pic>
              </a:graphicData>
            </a:graphic>
          </wp:inline>
        </w:drawing>
      </w:r>
    </w:p>
    <w:p w14:paraId="456F0AC1" w14:textId="1F0AB485" w:rsidR="00F24144" w:rsidRDefault="005226F0" w:rsidP="00156038">
      <w:pPr>
        <w:pStyle w:val="Caption"/>
        <w:jc w:val="center"/>
      </w:pPr>
      <w:r w:rsidRPr="00992588">
        <w:rPr>
          <w:rFonts w:cstheme="minorHAnsi"/>
          <w:b/>
          <w:i w:val="0"/>
          <w:iCs w:val="0"/>
          <w:color w:val="auto"/>
          <w:sz w:val="22"/>
          <w:szCs w:val="22"/>
        </w:rPr>
        <w:t xml:space="preserve">Figure </w:t>
      </w:r>
      <w:r w:rsidRPr="00992588">
        <w:rPr>
          <w:rFonts w:cstheme="minorHAnsi"/>
          <w:b/>
          <w:i w:val="0"/>
          <w:iCs w:val="0"/>
          <w:color w:val="auto"/>
          <w:sz w:val="22"/>
          <w:szCs w:val="22"/>
        </w:rPr>
        <w:fldChar w:fldCharType="begin"/>
      </w:r>
      <w:r w:rsidRPr="00992588">
        <w:rPr>
          <w:rFonts w:cstheme="minorHAnsi"/>
          <w:b/>
          <w:i w:val="0"/>
          <w:iCs w:val="0"/>
          <w:color w:val="auto"/>
          <w:sz w:val="22"/>
          <w:szCs w:val="22"/>
        </w:rPr>
        <w:instrText xml:space="preserve"> SEQ Figure \* ARABIC </w:instrText>
      </w:r>
      <w:r w:rsidRPr="00992588">
        <w:rPr>
          <w:rFonts w:cstheme="minorHAnsi"/>
          <w:b/>
          <w:i w:val="0"/>
          <w:iCs w:val="0"/>
          <w:color w:val="auto"/>
          <w:sz w:val="22"/>
          <w:szCs w:val="22"/>
        </w:rPr>
        <w:fldChar w:fldCharType="separate"/>
      </w:r>
      <w:r w:rsidRPr="00992588">
        <w:rPr>
          <w:rFonts w:cstheme="minorHAnsi"/>
          <w:b/>
          <w:i w:val="0"/>
          <w:iCs w:val="0"/>
          <w:color w:val="auto"/>
          <w:sz w:val="22"/>
          <w:szCs w:val="22"/>
        </w:rPr>
        <w:t>1</w:t>
      </w:r>
      <w:r w:rsidRPr="00992588">
        <w:rPr>
          <w:rFonts w:cstheme="minorHAnsi"/>
          <w:b/>
          <w:i w:val="0"/>
          <w:iCs w:val="0"/>
          <w:color w:val="auto"/>
          <w:sz w:val="22"/>
          <w:szCs w:val="22"/>
        </w:rPr>
        <w:fldChar w:fldCharType="end"/>
      </w:r>
      <w:r w:rsidR="00992588">
        <w:rPr>
          <w:rFonts w:cstheme="minorHAnsi"/>
          <w:b/>
          <w:i w:val="0"/>
          <w:iCs w:val="0"/>
          <w:color w:val="auto"/>
          <w:sz w:val="22"/>
          <w:szCs w:val="22"/>
        </w:rPr>
        <w:t xml:space="preserve">. </w:t>
      </w:r>
      <w:r w:rsidR="0057025E" w:rsidRPr="0057025E">
        <w:rPr>
          <w:rFonts w:cstheme="minorHAnsi"/>
          <w:i w:val="0"/>
          <w:iCs w:val="0"/>
          <w:color w:val="auto"/>
          <w:sz w:val="22"/>
          <w:szCs w:val="22"/>
        </w:rPr>
        <w:t xml:space="preserve">Histogram of </w:t>
      </w:r>
      <w:r w:rsidR="0057025E">
        <w:rPr>
          <w:rFonts w:cstheme="minorHAnsi"/>
          <w:i w:val="0"/>
          <w:iCs w:val="0"/>
          <w:color w:val="auto"/>
          <w:sz w:val="22"/>
          <w:szCs w:val="22"/>
        </w:rPr>
        <w:t>the</w:t>
      </w:r>
      <w:r w:rsidR="0057025E" w:rsidRPr="0057025E">
        <w:rPr>
          <w:rFonts w:cstheme="minorHAnsi"/>
          <w:i w:val="0"/>
          <w:iCs w:val="0"/>
          <w:color w:val="auto"/>
          <w:sz w:val="22"/>
          <w:szCs w:val="22"/>
        </w:rPr>
        <w:t xml:space="preserve"> 10,000 </w:t>
      </w:r>
      <w:r w:rsidR="0057025E">
        <w:rPr>
          <w:rFonts w:cstheme="minorHAnsi"/>
          <w:i w:val="0"/>
          <w:iCs w:val="0"/>
          <w:color w:val="auto"/>
          <w:sz w:val="22"/>
          <w:szCs w:val="22"/>
        </w:rPr>
        <w:t xml:space="preserve">run </w:t>
      </w:r>
      <w:r w:rsidR="0057025E" w:rsidRPr="0057025E">
        <w:rPr>
          <w:rFonts w:cstheme="minorHAnsi"/>
          <w:i w:val="0"/>
          <w:iCs w:val="0"/>
          <w:color w:val="auto"/>
          <w:sz w:val="22"/>
          <w:szCs w:val="22"/>
        </w:rPr>
        <w:t>Mont</w:t>
      </w:r>
      <w:r w:rsidR="006B24D7">
        <w:rPr>
          <w:rFonts w:cstheme="minorHAnsi"/>
          <w:i w:val="0"/>
          <w:iCs w:val="0"/>
          <w:color w:val="auto"/>
          <w:sz w:val="22"/>
          <w:szCs w:val="22"/>
        </w:rPr>
        <w:t>e</w:t>
      </w:r>
      <w:r w:rsidR="0057025E" w:rsidRPr="0057025E">
        <w:rPr>
          <w:rFonts w:cstheme="minorHAnsi"/>
          <w:i w:val="0"/>
          <w:iCs w:val="0"/>
          <w:color w:val="auto"/>
          <w:sz w:val="22"/>
          <w:szCs w:val="22"/>
        </w:rPr>
        <w:t xml:space="preserve"> Carlo simulation</w:t>
      </w:r>
    </w:p>
    <w:p w14:paraId="4644AFC4" w14:textId="30F7BD0C" w:rsidR="6F7DFBC3" w:rsidRDefault="6F7DFBC3">
      <w:r w:rsidRPr="00C03AD4">
        <w:rPr>
          <w:rFonts w:eastAsia="Calibri" w:cstheme="minorHAnsi"/>
        </w:rPr>
        <w:t xml:space="preserve"> </w:t>
      </w:r>
    </w:p>
    <w:sectPr w:rsidR="6F7DFBC3">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CC156" w14:textId="77777777" w:rsidR="00C03AD4" w:rsidRDefault="00C03AD4" w:rsidP="009D5BF8">
      <w:pPr>
        <w:spacing w:after="0" w:line="240" w:lineRule="auto"/>
      </w:pPr>
      <w:r>
        <w:separator/>
      </w:r>
    </w:p>
  </w:endnote>
  <w:endnote w:type="continuationSeparator" w:id="0">
    <w:p w14:paraId="162E2B43" w14:textId="77777777" w:rsidR="00C03AD4" w:rsidRDefault="00C03AD4" w:rsidP="009D5BF8">
      <w:pPr>
        <w:spacing w:after="0" w:line="240" w:lineRule="auto"/>
      </w:pPr>
      <w:r>
        <w:continuationSeparator/>
      </w:r>
    </w:p>
  </w:endnote>
  <w:endnote w:type="continuationNotice" w:id="1">
    <w:p w14:paraId="3221F191" w14:textId="77777777" w:rsidR="00546FF8" w:rsidRDefault="00546F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9561104"/>
      <w:docPartObj>
        <w:docPartGallery w:val="Page Numbers (Bottom of Page)"/>
        <w:docPartUnique/>
      </w:docPartObj>
    </w:sdtPr>
    <w:sdtEndPr/>
    <w:sdtContent>
      <w:sdt>
        <w:sdtPr>
          <w:id w:val="1728636285"/>
          <w:docPartObj>
            <w:docPartGallery w:val="Page Numbers (Top of Page)"/>
            <w:docPartUnique/>
          </w:docPartObj>
        </w:sdtPr>
        <w:sdtEndPr/>
        <w:sdtContent>
          <w:p w14:paraId="78C1FED4" w14:textId="360628FA" w:rsidR="00500BE5" w:rsidRDefault="005D7889">
            <w:pPr>
              <w:pStyle w:val="Footer"/>
              <w:jc w:val="center"/>
            </w:pPr>
            <w:r>
              <w:fldChar w:fldCharType="begin"/>
            </w:r>
            <w:r>
              <w:instrText xml:space="preserve"> FILENAME   \* MERGEFORMAT </w:instrText>
            </w:r>
            <w:r>
              <w:fldChar w:fldCharType="separate"/>
            </w:r>
            <w:r w:rsidR="00891781">
              <w:rPr>
                <w:noProof/>
              </w:rPr>
              <w:t>GapFill_TankEmissionsNotMakingToCombustor_UBEI2017-Update.docx</w:t>
            </w:r>
            <w:r>
              <w:rPr>
                <w:noProof/>
              </w:rPr>
              <w:fldChar w:fldCharType="end"/>
            </w:r>
            <w:r w:rsidR="00132D9F">
              <w:tab/>
            </w:r>
            <w:r w:rsidR="00500BE5" w:rsidRPr="00500BE5">
              <w:rPr>
                <w:rFonts w:ascii="Arial" w:hAnsi="Arial" w:cs="Arial"/>
                <w:sz w:val="20"/>
                <w:szCs w:val="20"/>
              </w:rPr>
              <w:t xml:space="preserve">Page </w:t>
            </w:r>
            <w:r w:rsidR="00500BE5" w:rsidRPr="00500BE5">
              <w:rPr>
                <w:rFonts w:ascii="Arial" w:hAnsi="Arial" w:cs="Arial"/>
                <w:bCs/>
                <w:sz w:val="20"/>
                <w:szCs w:val="20"/>
              </w:rPr>
              <w:fldChar w:fldCharType="begin"/>
            </w:r>
            <w:r w:rsidR="00500BE5" w:rsidRPr="00500BE5">
              <w:rPr>
                <w:rFonts w:ascii="Arial" w:hAnsi="Arial" w:cs="Arial"/>
                <w:bCs/>
                <w:sz w:val="20"/>
                <w:szCs w:val="20"/>
              </w:rPr>
              <w:instrText xml:space="preserve"> PAGE </w:instrText>
            </w:r>
            <w:r w:rsidR="00500BE5" w:rsidRPr="00500BE5">
              <w:rPr>
                <w:rFonts w:ascii="Arial" w:hAnsi="Arial" w:cs="Arial"/>
                <w:bCs/>
                <w:sz w:val="20"/>
                <w:szCs w:val="20"/>
              </w:rPr>
              <w:fldChar w:fldCharType="separate"/>
            </w:r>
            <w:r w:rsidR="00500BE5" w:rsidRPr="00500BE5">
              <w:rPr>
                <w:rFonts w:ascii="Arial" w:hAnsi="Arial" w:cs="Arial"/>
                <w:bCs/>
                <w:noProof/>
                <w:sz w:val="20"/>
                <w:szCs w:val="20"/>
              </w:rPr>
              <w:t>2</w:t>
            </w:r>
            <w:r w:rsidR="00500BE5" w:rsidRPr="00500BE5">
              <w:rPr>
                <w:rFonts w:ascii="Arial" w:hAnsi="Arial" w:cs="Arial"/>
                <w:bCs/>
                <w:sz w:val="20"/>
                <w:szCs w:val="20"/>
              </w:rPr>
              <w:fldChar w:fldCharType="end"/>
            </w:r>
            <w:r w:rsidR="00500BE5" w:rsidRPr="00500BE5">
              <w:rPr>
                <w:rFonts w:ascii="Arial" w:hAnsi="Arial" w:cs="Arial"/>
                <w:sz w:val="20"/>
                <w:szCs w:val="20"/>
              </w:rPr>
              <w:t xml:space="preserve"> of </w:t>
            </w:r>
            <w:r w:rsidR="00500BE5" w:rsidRPr="00500BE5">
              <w:rPr>
                <w:rFonts w:ascii="Arial" w:hAnsi="Arial" w:cs="Arial"/>
                <w:bCs/>
                <w:sz w:val="20"/>
                <w:szCs w:val="20"/>
              </w:rPr>
              <w:fldChar w:fldCharType="begin"/>
            </w:r>
            <w:r w:rsidR="00500BE5" w:rsidRPr="00500BE5">
              <w:rPr>
                <w:rFonts w:ascii="Arial" w:hAnsi="Arial" w:cs="Arial"/>
                <w:bCs/>
                <w:sz w:val="20"/>
                <w:szCs w:val="20"/>
              </w:rPr>
              <w:instrText xml:space="preserve"> NUMPAGES  </w:instrText>
            </w:r>
            <w:r w:rsidR="00500BE5" w:rsidRPr="00500BE5">
              <w:rPr>
                <w:rFonts w:ascii="Arial" w:hAnsi="Arial" w:cs="Arial"/>
                <w:bCs/>
                <w:sz w:val="20"/>
                <w:szCs w:val="20"/>
              </w:rPr>
              <w:fldChar w:fldCharType="separate"/>
            </w:r>
            <w:r w:rsidR="00500BE5" w:rsidRPr="00500BE5">
              <w:rPr>
                <w:rFonts w:ascii="Arial" w:hAnsi="Arial" w:cs="Arial"/>
                <w:bCs/>
                <w:noProof/>
                <w:sz w:val="20"/>
                <w:szCs w:val="20"/>
              </w:rPr>
              <w:t>2</w:t>
            </w:r>
            <w:r w:rsidR="00500BE5" w:rsidRPr="00500BE5">
              <w:rPr>
                <w:rFonts w:ascii="Arial" w:hAnsi="Arial" w:cs="Arial"/>
                <w:bCs/>
                <w:sz w:val="20"/>
                <w:szCs w:val="20"/>
              </w:rPr>
              <w:fldChar w:fldCharType="end"/>
            </w:r>
          </w:p>
        </w:sdtContent>
      </w:sdt>
    </w:sdtContent>
  </w:sdt>
  <w:p w14:paraId="6E85E1BF" w14:textId="77777777" w:rsidR="00500BE5" w:rsidRDefault="00500B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76781" w14:textId="77777777" w:rsidR="00C03AD4" w:rsidRDefault="00C03AD4" w:rsidP="009D5BF8">
      <w:pPr>
        <w:spacing w:after="0" w:line="240" w:lineRule="auto"/>
      </w:pPr>
      <w:r>
        <w:separator/>
      </w:r>
    </w:p>
  </w:footnote>
  <w:footnote w:type="continuationSeparator" w:id="0">
    <w:p w14:paraId="4868DB5A" w14:textId="77777777" w:rsidR="00C03AD4" w:rsidRDefault="00C03AD4" w:rsidP="009D5BF8">
      <w:pPr>
        <w:spacing w:after="0" w:line="240" w:lineRule="auto"/>
      </w:pPr>
      <w:r>
        <w:continuationSeparator/>
      </w:r>
    </w:p>
  </w:footnote>
  <w:footnote w:type="continuationNotice" w:id="1">
    <w:p w14:paraId="6499F6CF" w14:textId="77777777" w:rsidR="00546FF8" w:rsidRDefault="00546FF8">
      <w:pPr>
        <w:spacing w:after="0" w:line="240" w:lineRule="auto"/>
      </w:pPr>
    </w:p>
  </w:footnote>
  <w:footnote w:id="2">
    <w:p w14:paraId="58FC9458" w14:textId="444F86F0" w:rsidR="00C03AD4" w:rsidRDefault="00C03AD4" w:rsidP="009D5BF8">
      <w:pPr>
        <w:pStyle w:val="FootnoteText"/>
      </w:pPr>
      <w:r>
        <w:rPr>
          <w:rStyle w:val="FootnoteReference"/>
        </w:rPr>
        <w:footnoteRef/>
      </w:r>
      <w:r>
        <w:t xml:space="preserve"> “EPA Observes Emissions from Controlled Storage Vessels at Onshore Oil and Natural Gas Production Facilities” September 2015.  </w:t>
      </w:r>
      <w:hyperlink r:id="rId1" w:history="1">
        <w:r w:rsidRPr="008250C7">
          <w:rPr>
            <w:rStyle w:val="Hyperlink"/>
          </w:rPr>
          <w:t>https://www.epa.gov/sites/production/files/2015-09/documents/oilgascompliancealert.pdf</w:t>
        </w:r>
      </w:hyperlink>
    </w:p>
    <w:p w14:paraId="60EB1080" w14:textId="77777777" w:rsidR="00C03AD4" w:rsidRDefault="00C03AD4" w:rsidP="009D5BF8">
      <w:pPr>
        <w:pStyle w:val="FootnoteText"/>
      </w:pPr>
    </w:p>
  </w:footnote>
  <w:footnote w:id="3">
    <w:p w14:paraId="7FE358A1" w14:textId="52B0FB46" w:rsidR="00C03AD4" w:rsidRDefault="00C03AD4">
      <w:pPr>
        <w:pStyle w:val="FootnoteText"/>
      </w:pPr>
      <w:r>
        <w:rPr>
          <w:rStyle w:val="FootnoteReference"/>
        </w:rPr>
        <w:footnoteRef/>
      </w:r>
      <w:r>
        <w:t xml:space="preserve"> </w:t>
      </w:r>
      <w:r w:rsidRPr="007B7884">
        <w:t>“STORAGE TANK EMISSIONS PILOT PROJECT (STEPP): FUGITIVE ORGANIC COMPOUND EMISSIONS FROM LIQUID STORAGE TANKS IN THE UINTA BASIN” Final Report to The Utah State Legislature, July 17, 2017. USU, TriCounty Health Dept, UDAQ</w:t>
      </w:r>
      <w:r>
        <w:t>.</w:t>
      </w:r>
      <w:r w:rsidRPr="007B7884">
        <w:t xml:space="preserve"> </w:t>
      </w:r>
      <w:hyperlink r:id="rId2" w:history="1">
        <w:r w:rsidRPr="008250C7">
          <w:rPr>
            <w:rStyle w:val="Hyperlink"/>
          </w:rPr>
          <w:t>https://documents.deq.utah.gov/air-quality/planning/technical-analysis/research/oil-and-gas/DAQ-2017-014389.pdf</w:t>
        </w:r>
      </w:hyperlink>
    </w:p>
    <w:p w14:paraId="43D8064F" w14:textId="77777777" w:rsidR="00C03AD4" w:rsidRDefault="00C03AD4">
      <w:pPr>
        <w:pStyle w:val="FootnoteText"/>
      </w:pPr>
    </w:p>
  </w:footnote>
  <w:footnote w:id="4">
    <w:p w14:paraId="035911F1" w14:textId="1FFC7BD9" w:rsidR="00C03AD4" w:rsidRDefault="00C03AD4">
      <w:pPr>
        <w:pStyle w:val="FootnoteText"/>
      </w:pPr>
      <w:r>
        <w:rPr>
          <w:rStyle w:val="FootnoteReference"/>
        </w:rPr>
        <w:footnoteRef/>
      </w:r>
      <w:r>
        <w:t xml:space="preserve"> </w:t>
      </w:r>
      <w:r w:rsidRPr="00B86125">
        <w:t xml:space="preserve">“Hydrocarbon Emission Detection Survey of Uinta Basin Oil and Gas Wells”. November 2018. Bingham Research Center, Utah State University. </w:t>
      </w:r>
      <w:hyperlink r:id="rId3" w:history="1">
        <w:r w:rsidRPr="008250C7">
          <w:rPr>
            <w:rStyle w:val="Hyperlink"/>
          </w:rPr>
          <w:t>https://usu.box.com/s/y3njm7wulu2gr4ff8itdsismmud2rxf8</w:t>
        </w:r>
      </w:hyperlink>
    </w:p>
    <w:p w14:paraId="4E6AA803" w14:textId="77777777" w:rsidR="00C03AD4" w:rsidRDefault="00C03AD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7507B0"/>
    <w:multiLevelType w:val="hybridMultilevel"/>
    <w:tmpl w:val="44D06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B0A3637"/>
    <w:multiLevelType w:val="hybridMultilevel"/>
    <w:tmpl w:val="5936FD3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activeWritingStyle w:appName="MSWord" w:lang="en-US" w:vendorID="64" w:dllVersion="0" w:nlCheck="1" w:checkStyle="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DAE"/>
    <w:rsid w:val="000C2DAE"/>
    <w:rsid w:val="001169F5"/>
    <w:rsid w:val="00132D9F"/>
    <w:rsid w:val="00156038"/>
    <w:rsid w:val="00172049"/>
    <w:rsid w:val="0024328E"/>
    <w:rsid w:val="00352C11"/>
    <w:rsid w:val="003661A2"/>
    <w:rsid w:val="00382427"/>
    <w:rsid w:val="00397B9C"/>
    <w:rsid w:val="004C2FC8"/>
    <w:rsid w:val="00500BE5"/>
    <w:rsid w:val="005226F0"/>
    <w:rsid w:val="00546FF8"/>
    <w:rsid w:val="005630DC"/>
    <w:rsid w:val="0057025E"/>
    <w:rsid w:val="00583F5C"/>
    <w:rsid w:val="005C757C"/>
    <w:rsid w:val="005D7889"/>
    <w:rsid w:val="00681909"/>
    <w:rsid w:val="006B24D7"/>
    <w:rsid w:val="006C36DC"/>
    <w:rsid w:val="007312E4"/>
    <w:rsid w:val="007B7884"/>
    <w:rsid w:val="007D0AEE"/>
    <w:rsid w:val="008777FD"/>
    <w:rsid w:val="008821FA"/>
    <w:rsid w:val="00891781"/>
    <w:rsid w:val="008B6CE9"/>
    <w:rsid w:val="00992588"/>
    <w:rsid w:val="009D5BF8"/>
    <w:rsid w:val="00A12478"/>
    <w:rsid w:val="00A12BC2"/>
    <w:rsid w:val="00A86371"/>
    <w:rsid w:val="00AB0733"/>
    <w:rsid w:val="00B23499"/>
    <w:rsid w:val="00B40F24"/>
    <w:rsid w:val="00B82B80"/>
    <w:rsid w:val="00B86125"/>
    <w:rsid w:val="00BA27AE"/>
    <w:rsid w:val="00C03AD4"/>
    <w:rsid w:val="00C72A1B"/>
    <w:rsid w:val="00D90EAE"/>
    <w:rsid w:val="00E15EC2"/>
    <w:rsid w:val="00ED11E2"/>
    <w:rsid w:val="00F24144"/>
    <w:rsid w:val="00F33420"/>
    <w:rsid w:val="00F523D9"/>
    <w:rsid w:val="6F7DFBC3"/>
    <w:rsid w:val="7F8BB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E702A"/>
  <w15:chartTrackingRefBased/>
  <w15:docId w15:val="{A4734A11-5407-42BB-B02C-C819F7D6D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C2D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2DAE"/>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A12478"/>
    <w:rPr>
      <w:sz w:val="16"/>
      <w:szCs w:val="16"/>
    </w:rPr>
  </w:style>
  <w:style w:type="paragraph" w:styleId="CommentText">
    <w:name w:val="annotation text"/>
    <w:basedOn w:val="Normal"/>
    <w:link w:val="CommentTextChar"/>
    <w:uiPriority w:val="99"/>
    <w:semiHidden/>
    <w:unhideWhenUsed/>
    <w:rsid w:val="00A12478"/>
    <w:pPr>
      <w:spacing w:line="240" w:lineRule="auto"/>
    </w:pPr>
    <w:rPr>
      <w:sz w:val="20"/>
      <w:szCs w:val="20"/>
    </w:rPr>
  </w:style>
  <w:style w:type="character" w:customStyle="1" w:styleId="CommentTextChar">
    <w:name w:val="Comment Text Char"/>
    <w:basedOn w:val="DefaultParagraphFont"/>
    <w:link w:val="CommentText"/>
    <w:uiPriority w:val="99"/>
    <w:semiHidden/>
    <w:rsid w:val="00A12478"/>
    <w:rPr>
      <w:sz w:val="20"/>
      <w:szCs w:val="20"/>
    </w:rPr>
  </w:style>
  <w:style w:type="paragraph" w:styleId="CommentSubject">
    <w:name w:val="annotation subject"/>
    <w:basedOn w:val="CommentText"/>
    <w:next w:val="CommentText"/>
    <w:link w:val="CommentSubjectChar"/>
    <w:uiPriority w:val="99"/>
    <w:semiHidden/>
    <w:unhideWhenUsed/>
    <w:rsid w:val="00A12478"/>
    <w:rPr>
      <w:b/>
      <w:bCs/>
    </w:rPr>
  </w:style>
  <w:style w:type="character" w:customStyle="1" w:styleId="CommentSubjectChar">
    <w:name w:val="Comment Subject Char"/>
    <w:basedOn w:val="CommentTextChar"/>
    <w:link w:val="CommentSubject"/>
    <w:uiPriority w:val="99"/>
    <w:semiHidden/>
    <w:rsid w:val="00A12478"/>
    <w:rPr>
      <w:b/>
      <w:bCs/>
      <w:sz w:val="20"/>
      <w:szCs w:val="20"/>
    </w:rPr>
  </w:style>
  <w:style w:type="paragraph" w:styleId="BalloonText">
    <w:name w:val="Balloon Text"/>
    <w:basedOn w:val="Normal"/>
    <w:link w:val="BalloonTextChar"/>
    <w:uiPriority w:val="99"/>
    <w:semiHidden/>
    <w:unhideWhenUsed/>
    <w:rsid w:val="00A12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478"/>
    <w:rPr>
      <w:rFonts w:ascii="Segoe UI" w:hAnsi="Segoe UI" w:cs="Segoe UI"/>
      <w:sz w:val="18"/>
      <w:szCs w:val="18"/>
    </w:rPr>
  </w:style>
  <w:style w:type="paragraph" w:styleId="ListParagraph">
    <w:name w:val="List Paragraph"/>
    <w:basedOn w:val="Normal"/>
    <w:uiPriority w:val="34"/>
    <w:qFormat/>
    <w:rsid w:val="00A12478"/>
    <w:pPr>
      <w:spacing w:after="0" w:line="240" w:lineRule="auto"/>
      <w:ind w:left="720"/>
    </w:pPr>
    <w:rPr>
      <w:rFonts w:ascii="Calibri" w:hAnsi="Calibri" w:cs="Calibri"/>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FootnoteText">
    <w:name w:val="footnote text"/>
    <w:basedOn w:val="Normal"/>
    <w:link w:val="FootnoteTextChar"/>
    <w:uiPriority w:val="99"/>
    <w:semiHidden/>
    <w:unhideWhenUsed/>
    <w:rsid w:val="009D5B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5BF8"/>
    <w:rPr>
      <w:sz w:val="20"/>
      <w:szCs w:val="20"/>
    </w:rPr>
  </w:style>
  <w:style w:type="character" w:styleId="FootnoteReference">
    <w:name w:val="footnote reference"/>
    <w:basedOn w:val="DefaultParagraphFont"/>
    <w:uiPriority w:val="99"/>
    <w:semiHidden/>
    <w:unhideWhenUsed/>
    <w:rsid w:val="009D5BF8"/>
    <w:rPr>
      <w:vertAlign w:val="superscript"/>
    </w:rPr>
  </w:style>
  <w:style w:type="character" w:styleId="UnresolvedMention">
    <w:name w:val="Unresolved Mention"/>
    <w:basedOn w:val="DefaultParagraphFont"/>
    <w:uiPriority w:val="99"/>
    <w:semiHidden/>
    <w:unhideWhenUsed/>
    <w:rsid w:val="009D5BF8"/>
    <w:rPr>
      <w:color w:val="605E5C"/>
      <w:shd w:val="clear" w:color="auto" w:fill="E1DFDD"/>
    </w:rPr>
  </w:style>
  <w:style w:type="paragraph" w:styleId="Header">
    <w:name w:val="header"/>
    <w:basedOn w:val="Normal"/>
    <w:link w:val="HeaderChar"/>
    <w:uiPriority w:val="99"/>
    <w:unhideWhenUsed/>
    <w:rsid w:val="00C03A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AD4"/>
  </w:style>
  <w:style w:type="paragraph" w:styleId="Footer">
    <w:name w:val="footer"/>
    <w:basedOn w:val="Normal"/>
    <w:link w:val="FooterChar"/>
    <w:uiPriority w:val="99"/>
    <w:unhideWhenUsed/>
    <w:rsid w:val="00C03A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AD4"/>
  </w:style>
  <w:style w:type="paragraph" w:styleId="Caption">
    <w:name w:val="caption"/>
    <w:basedOn w:val="Normal"/>
    <w:next w:val="Normal"/>
    <w:uiPriority w:val="35"/>
    <w:unhideWhenUsed/>
    <w:qFormat/>
    <w:rsid w:val="005226F0"/>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083675">
      <w:bodyDiv w:val="1"/>
      <w:marLeft w:val="0"/>
      <w:marRight w:val="0"/>
      <w:marTop w:val="0"/>
      <w:marBottom w:val="0"/>
      <w:divBdr>
        <w:top w:val="none" w:sz="0" w:space="0" w:color="auto"/>
        <w:left w:val="none" w:sz="0" w:space="0" w:color="auto"/>
        <w:bottom w:val="none" w:sz="0" w:space="0" w:color="auto"/>
        <w:right w:val="none" w:sz="0" w:space="0" w:color="auto"/>
      </w:divBdr>
    </w:div>
    <w:div w:id="1978875007">
      <w:bodyDiv w:val="1"/>
      <w:marLeft w:val="0"/>
      <w:marRight w:val="0"/>
      <w:marTop w:val="0"/>
      <w:marBottom w:val="0"/>
      <w:divBdr>
        <w:top w:val="none" w:sz="0" w:space="0" w:color="auto"/>
        <w:left w:val="none" w:sz="0" w:space="0" w:color="auto"/>
        <w:bottom w:val="none" w:sz="0" w:space="0" w:color="auto"/>
        <w:right w:val="none" w:sz="0" w:space="0" w:color="auto"/>
      </w:divBdr>
    </w:div>
    <w:div w:id="206328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usu.box.com/s/y3njm7wulu2gr4ff8itdsismmud2rxf8" TargetMode="External"/><Relationship Id="rId2" Type="http://schemas.openxmlformats.org/officeDocument/2006/relationships/hyperlink" Target="https://documents.deq.utah.gov/air-quality/planning/technical-analysis/research/oil-and-gas/DAQ-2017-014389.pdf" TargetMode="External"/><Relationship Id="rId1" Type="http://schemas.openxmlformats.org/officeDocument/2006/relationships/hyperlink" Target="https://www.epa.gov/sites/production/files/2015-09/documents/oilgascomplianceale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4112542995E9446AF5C3397F99098D9" ma:contentTypeVersion="6" ma:contentTypeDescription="Create a new document." ma:contentTypeScope="" ma:versionID="a54086547f92a051ded5512b5e9165f9">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64ad95e1-688c-42bf-9e0e-93cd6fca63ab" targetNamespace="http://schemas.microsoft.com/office/2006/metadata/properties" ma:root="true" ma:fieldsID="2c25ba80da87b1f42985936d31659acd" ns1:_="" ns2:_="" ns3:_="" ns4:_="" ns5:_="">
    <xsd:import namespace="http://schemas.microsoft.com/sharepoint/v3"/>
    <xsd:import namespace="4ffa91fb-a0ff-4ac5-b2db-65c790d184a4"/>
    <xsd:import namespace="http://schemas.microsoft.com/sharepoint.v3"/>
    <xsd:import namespace="http://schemas.microsoft.com/sharepoint/v3/fields"/>
    <xsd:import namespace="64ad95e1-688c-42bf-9e0e-93cd6fca63ab"/>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391e7e77-7663-4be1-bf91-9d23c2582279}" ma:internalName="TaxCatchAllLabel" ma:readOnly="true" ma:showField="CatchAllDataLabel" ma:web="2cf67fee-803d-4dcb-aa98-9877ac254af1">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391e7e77-7663-4be1-bf91-9d23c2582279}" ma:internalName="TaxCatchAll" ma:showField="CatchAllData" ma:web="2cf67fee-803d-4dcb-aa98-9877ac254af1">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ad95e1-688c-42bf-9e0e-93cd6fca63ab"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2019-05-03T04:00:00+00:00</Document_x0020_Creation_x0020_Date>
    <EPA_x0020_Office xmlns="4ffa91fb-a0ff-4ac5-b2db-65c790d184a4">R08-OPRA-WP</EPA_x0020_Office>
    <CategoryDescription xmlns="http://schemas.microsoft.com/sharepoint.v3" xsi:nil="true"/>
    <Identifier xmlns="4ffa91fb-a0ff-4ac5-b2db-65c790d184a4" xsi:nil="true"/>
    <_Coverage xmlns="http://schemas.microsoft.com/sharepoint/v3/fields" xsi:nil="true"/>
    <Creator xmlns="4ffa91fb-a0ff-4ac5-b2db-65c790d184a4">
      <UserInfo>
        <DisplayName>Zull, Aaron</DisplayName>
        <AccountId>2481</AccountId>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D82397-1CD4-48F7-B52C-A180EFBBF086}">
  <ds:schemaRefs>
    <ds:schemaRef ds:uri="Microsoft.SharePoint.Taxonomy.ContentTypeSync"/>
  </ds:schemaRefs>
</ds:datastoreItem>
</file>

<file path=customXml/itemProps2.xml><?xml version="1.0" encoding="utf-8"?>
<ds:datastoreItem xmlns:ds="http://schemas.openxmlformats.org/officeDocument/2006/customXml" ds:itemID="{D80FA4C3-E63E-4646-BD75-1691F376E9F1}">
  <ds:schemaRefs>
    <ds:schemaRef ds:uri="http://schemas.openxmlformats.org/officeDocument/2006/bibliography"/>
  </ds:schemaRefs>
</ds:datastoreItem>
</file>

<file path=customXml/itemProps3.xml><?xml version="1.0" encoding="utf-8"?>
<ds:datastoreItem xmlns:ds="http://schemas.openxmlformats.org/officeDocument/2006/customXml" ds:itemID="{F20A3F95-89D7-45AB-8ED2-B96336442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64ad95e1-688c-42bf-9e0e-93cd6fca6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3B41BB-99DA-4028-98A3-FA3EE9D972B4}">
  <ds:schemaRefs>
    <ds:schemaRef ds:uri="http://schemas.microsoft.com/office/2006/documentManagement/types"/>
    <ds:schemaRef ds:uri="http://schemas.microsoft.com/sharepoint/v3/fields"/>
    <ds:schemaRef ds:uri="http://schemas.openxmlformats.org/package/2006/metadata/core-properties"/>
    <ds:schemaRef ds:uri="http://purl.org/dc/elements/1.1/"/>
    <ds:schemaRef ds:uri="http://schemas.microsoft.com/office/2006/metadata/properties"/>
    <ds:schemaRef ds:uri="http://schemas.microsoft.com/sharepoint/v3"/>
    <ds:schemaRef ds:uri="4ffa91fb-a0ff-4ac5-b2db-65c790d184a4"/>
    <ds:schemaRef ds:uri="http://schemas.microsoft.com/sharepoint.v3"/>
    <ds:schemaRef ds:uri="http://purl.org/dc/terms/"/>
    <ds:schemaRef ds:uri="64ad95e1-688c-42bf-9e0e-93cd6fca63ab"/>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AE54E538-0F03-4CFF-863F-AC84FF6AB7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Monti Carlo analysis of  extra tank emissions in the UB</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Monti Carlo analysis of  extra tank emissions in the UB</dc:title>
  <dc:subject/>
  <dc:creator>Zull, Aaron</dc:creator>
  <cp:keywords/>
  <dc:description/>
  <cp:lastModifiedBy>Beeler, Cindy</cp:lastModifiedBy>
  <cp:revision>5</cp:revision>
  <dcterms:created xsi:type="dcterms:W3CDTF">2021-04-05T14:49:00Z</dcterms:created>
  <dcterms:modified xsi:type="dcterms:W3CDTF">2021-04-05T23:47:00Z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0x010100A4112542995E9446AF5C3397F99098D9</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